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widowControl w:val="1"/>
        <w:pBdr>
          <w:top w:space="0" w:sz="0" w:val="nil"/>
          <w:left w:space="0" w:sz="0" w:val="nil"/>
          <w:bottom w:space="0" w:sz="0" w:val="nil"/>
          <w:right w:space="0" w:sz="0" w:val="nil"/>
          <w:between w:space="0" w:sz="0" w:val="nil"/>
        </w:pBdr>
        <w:shd w:fill="auto" w:val="clear"/>
        <w:tabs>
          <w:tab w:val="left" w:pos="5715"/>
        </w:tabs>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keepLines w:val="0"/>
        <w:widowControl w:val="1"/>
        <w:pBdr>
          <w:top w:space="0" w:sz="0" w:val="nil"/>
          <w:left w:space="0" w:sz="0" w:val="nil"/>
          <w:bottom w:space="0" w:sz="0" w:val="nil"/>
          <w:right w:space="0" w:sz="0" w:val="nil"/>
          <w:between w:space="0" w:sz="0" w:val="nil"/>
        </w:pBdr>
        <w:shd w:fill="auto" w:val="clear"/>
        <w:tabs>
          <w:tab w:val="left" w:pos="5715"/>
        </w:tabs>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Call-Off Schedule 1 (Transparency Reports)</w:t>
      </w:r>
    </w:p>
    <w:p w:rsidR="00000000" w:rsidDel="00000000" w:rsidP="00000000" w:rsidRDefault="00000000" w:rsidRPr="00000000" w14:paraId="00000003">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1.1 The Supplier recognises that the Buyer is subject to PPN 01/17 (Updates to transparency principles v1.1 (</w:t>
      </w:r>
      <w:hyperlink r:id="rId7">
        <w:r w:rsidDel="00000000" w:rsidR="00000000" w:rsidRPr="00000000">
          <w:rPr>
            <w:rFonts w:ascii="Arial" w:cs="Arial" w:eastAsia="Arial" w:hAnsi="Arial"/>
            <w:color w:val="0000ff"/>
            <w:sz w:val="24"/>
            <w:szCs w:val="24"/>
            <w:u w:val="single"/>
            <w:rtl w:val="0"/>
          </w:rPr>
          <w:t xml:space="preserve">https://www.gov.uk/government/publications/procurement-policy-note-0117-update-to-transparency-principles</w:t>
        </w:r>
      </w:hyperlink>
      <w:r w:rsidDel="00000000" w:rsidR="00000000" w:rsidRPr="00000000">
        <w:rPr>
          <w:rFonts w:ascii="Arial" w:cs="Arial" w:eastAsia="Arial" w:hAnsi="Arial"/>
          <w:color w:val="000000"/>
          <w:sz w:val="24"/>
          <w:szCs w:val="24"/>
          <w:rtl w:val="0"/>
        </w:rPr>
        <w:t xml:space="preserve">). The Supplier shall comply with the provisions of this Schedule in order to assist the Buyer with its compliance with its obligations under that PPN.</w:t>
      </w:r>
    </w:p>
    <w:p w:rsidR="00000000" w:rsidDel="00000000" w:rsidP="00000000" w:rsidRDefault="00000000" w:rsidRPr="00000000" w14:paraId="00000004">
      <w:pPr>
        <w:spacing w:after="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5">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1.2</w:t>
        <w:tab/>
        <w:t xml:space="preserve">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rsidR="00000000" w:rsidDel="00000000" w:rsidP="00000000" w:rsidRDefault="00000000" w:rsidRPr="00000000" w14:paraId="00000006">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7">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1.3 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rsidR="00000000" w:rsidDel="00000000" w:rsidP="00000000" w:rsidRDefault="00000000" w:rsidRPr="00000000" w14:paraId="00000008">
      <w:pPr>
        <w:spacing w:after="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9">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 The Supplier shall provide accurate and up-to-date versions of each Transparency Report to the Buyer at the frequency referred to in the Annex of this Schedule.</w:t>
      </w:r>
    </w:p>
    <w:p w:rsidR="00000000" w:rsidDel="00000000" w:rsidP="00000000" w:rsidRDefault="00000000" w:rsidRPr="00000000" w14:paraId="0000000A">
      <w:pPr>
        <w:rPr>
          <w:rFonts w:ascii="Arial" w:cs="Arial" w:eastAsia="Arial" w:hAnsi="Arial"/>
          <w:color w:val="000000"/>
          <w:sz w:val="24"/>
          <w:szCs w:val="24"/>
        </w:rPr>
      </w:pPr>
      <w:bookmarkStart w:colFirst="0" w:colLast="0" w:name="_heading=h.gjdgxs" w:id="0"/>
      <w:bookmarkEnd w:id="0"/>
      <w:r w:rsidDel="00000000" w:rsidR="00000000" w:rsidRPr="00000000">
        <w:br w:type="page"/>
      </w:r>
      <w:r w:rsidDel="00000000" w:rsidR="00000000" w:rsidRPr="00000000">
        <w:rPr>
          <w:rtl w:val="0"/>
        </w:rPr>
      </w:r>
    </w:p>
    <w:p w:rsidR="00000000" w:rsidDel="00000000" w:rsidP="00000000" w:rsidRDefault="00000000" w:rsidRPr="00000000" w14:paraId="0000000B">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C">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A: List of Transparency Reports</w:t>
      </w:r>
    </w:p>
    <w:tbl>
      <w:tblPr>
        <w:tblStyle w:val="Table1"/>
        <w:tblW w:w="8992.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943"/>
        <w:gridCol w:w="1553"/>
        <w:gridCol w:w="2248"/>
        <w:gridCol w:w="2248"/>
        <w:tblGridChange w:id="0">
          <w:tblGrid>
            <w:gridCol w:w="2943"/>
            <w:gridCol w:w="1553"/>
            <w:gridCol w:w="2248"/>
            <w:gridCol w:w="2248"/>
          </w:tblGrid>
        </w:tblGridChange>
      </w:tblGrid>
      <w:tr>
        <w:trPr>
          <w:trHeight w:val="120" w:hRule="atLeast"/>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E">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Title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F">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Content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0">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Format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1">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Frequency </w:t>
            </w:r>
            <w:r w:rsidDel="00000000" w:rsidR="00000000" w:rsidRPr="00000000">
              <w:rPr>
                <w:rtl w:val="0"/>
              </w:rPr>
            </w:r>
          </w:p>
        </w:tc>
      </w:tr>
      <w:tr>
        <w:trPr>
          <w:trHeight w:val="200" w:hRule="atLeast"/>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2">
            <w:pPr>
              <w:tabs>
                <w:tab w:val="left" w:pos="3380"/>
              </w:tabs>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[Performance]</w:t>
            </w:r>
            <w:r w:rsidDel="00000000" w:rsidR="00000000" w:rsidRPr="00000000">
              <w:rPr>
                <w:rFonts w:ascii="Arial" w:cs="Arial" w:eastAsia="Arial" w:hAnsi="Arial"/>
                <w:color w:val="000000"/>
                <w:sz w:val="24"/>
                <w:szCs w:val="24"/>
                <w:rtl w:val="0"/>
              </w:rPr>
              <w:tab/>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3">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14">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5">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6">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7">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8">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trHeight w:val="140" w:hRule="atLeast"/>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9">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Contract Charges]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A">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1B">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C">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D">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E">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F">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trHeight w:val="140" w:hRule="atLeast"/>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0">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[Key Subcontractors]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1">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22">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3">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4">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5">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6">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trHeight w:val="140" w:hRule="atLeast"/>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7">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[Technical]</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29">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A">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B">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C">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D">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trHeight w:val="200" w:hRule="atLeast"/>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E">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[Performance management]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F">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30">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1">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2">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3">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4">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bl>
    <w:bookmarkStart w:colFirst="0" w:colLast="0" w:name="bookmark=id.30j0zll" w:id="1"/>
    <w:bookmarkEnd w:id="1"/>
    <w:p w:rsidR="00000000" w:rsidDel="00000000" w:rsidP="00000000" w:rsidRDefault="00000000" w:rsidRPr="00000000" w14:paraId="00000035">
      <w:pPr>
        <w:tabs>
          <w:tab w:val="left" w:pos="1251"/>
        </w:tabs>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6">
      <w:pPr>
        <w:tabs>
          <w:tab w:val="left" w:pos="1251"/>
        </w:tabs>
        <w:rPr>
          <w:rFonts w:ascii="Arial" w:cs="Arial" w:eastAsia="Arial" w:hAnsi="Arial"/>
          <w:sz w:val="24"/>
          <w:szCs w:val="24"/>
        </w:rPr>
        <w:sectPr>
          <w:headerReference r:id="rId8" w:type="default"/>
          <w:headerReference r:id="rId9" w:type="first"/>
          <w:footerReference r:id="rId10" w:type="default"/>
          <w:footerReference r:id="rId11" w:type="first"/>
          <w:pgSz w:h="16838" w:w="11906"/>
          <w:pgMar w:bottom="1440" w:top="1440" w:left="1440" w:right="1440" w:header="709" w:footer="709"/>
          <w:pgNumType w:start="1"/>
          <w:cols w:equalWidth="0"/>
        </w:sectPr>
      </w:pPr>
      <w:r w:rsidDel="00000000" w:rsidR="00000000" w:rsidRPr="00000000">
        <w:rPr>
          <w:rtl w:val="0"/>
        </w:rPr>
      </w:r>
    </w:p>
    <w:p w:rsidR="00000000" w:rsidDel="00000000" w:rsidP="00000000" w:rsidRDefault="00000000" w:rsidRPr="00000000" w14:paraId="00000037">
      <w:pPr>
        <w:tabs>
          <w:tab w:val="left" w:pos="1251"/>
        </w:tabs>
        <w:rPr>
          <w:rFonts w:ascii="Arial" w:cs="Arial" w:eastAsia="Arial" w:hAnsi="Arial"/>
          <w:sz w:val="24"/>
          <w:szCs w:val="24"/>
        </w:rPr>
      </w:pPr>
      <w:r w:rsidDel="00000000" w:rsidR="00000000" w:rsidRPr="00000000">
        <w:rPr>
          <w:rtl w:val="0"/>
        </w:rPr>
      </w:r>
    </w:p>
    <w:sectPr>
      <w:type w:val="nextPage"/>
      <w:pgSz w:h="16838" w:w="11906"/>
      <w:pgMar w:bottom="1440" w:top="1440" w:left="1440" w:right="1440" w:header="709" w:footer="709"/>
      <w:cols w:equalWidth="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1">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42">
    <w:pPr>
      <w:tabs>
        <w:tab w:val="center" w:pos="4513"/>
        <w:tab w:val="right"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4">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5">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RM6169 Corporate Finance Services 2</w:t>
      <w:tab/>
      <w:t xml:space="preserve">                                           </w:t>
    </w:r>
  </w:p>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7">
    <w:pPr>
      <w:spacing w:after="0" w:lineRule="auto"/>
      <w:rPr>
        <w:rFonts w:ascii="Arial" w:cs="Arial" w:eastAsia="Arial" w:hAnsi="Arial"/>
        <w:color w:val="a6a6a6"/>
        <w:sz w:val="20"/>
        <w:szCs w:val="20"/>
      </w:rPr>
    </w:pPr>
    <w:r w:rsidDel="00000000" w:rsidR="00000000" w:rsidRPr="00000000">
      <w:rPr>
        <w:rFonts w:ascii="Arial" w:cs="Arial" w:eastAsia="Arial" w:hAnsi="Arial"/>
        <w:sz w:val="20"/>
        <w:szCs w:val="20"/>
        <w:rtl w:val="0"/>
      </w:rPr>
      <w:t xml:space="preserve">Model Version: v3.0</w:t>
      <w:tab/>
    </w:r>
    <w:r w:rsidDel="00000000" w:rsidR="00000000" w:rsidRPr="00000000">
      <w:rPr>
        <w:rFonts w:ascii="Arial" w:cs="Arial" w:eastAsia="Arial" w:hAnsi="Arial"/>
        <w:color w:val="a6a6a6"/>
        <w:sz w:val="20"/>
        <w:szCs w:val="20"/>
        <w:rtl w:val="0"/>
      </w:rPr>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 (Transparency Reports)</w:t>
    </w:r>
    <w:r w:rsidDel="00000000" w:rsidR="00000000" w:rsidRPr="00000000">
      <w:rPr>
        <w:rtl w:val="0"/>
      </w:rPr>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Call-Off Schedule 1 (Transparency Reports)</w:t>
    </w:r>
    <w:r w:rsidDel="00000000" w:rsidR="00000000" w:rsidRPr="00000000">
      <w:rPr>
        <w:rtl w:val="0"/>
      </w:rPr>
    </w:r>
  </w:p>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r w:rsidDel="00000000" w:rsidR="00000000" w:rsidRPr="00000000">
      <w:rPr>
        <w:rtl w:val="0"/>
      </w:rPr>
    </w:r>
  </w:p>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2018</w:t>
    </w:r>
  </w:p>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TSOLScheduleAnnexName" w:customStyle="1">
    <w:name w:val="TSOL Schedule Annex Name"/>
    <w:qFormat w:val="1"/>
    <w:pPr>
      <w:spacing w:after="240" w:line="240" w:lineRule="auto"/>
      <w:jc w:val="center"/>
      <w:outlineLvl w:val="1"/>
    </w:pPr>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GPSL2Numbered" w:customStyle="1">
    <w:name w:val="GPS L2 Numbered"/>
    <w:basedOn w:val="Normal"/>
    <w:link w:val="GPSL2NumberedChar"/>
    <w:qFormat w:val="1"/>
    <w:pPr>
      <w:tabs>
        <w:tab w:val="left" w:pos="709"/>
        <w:tab w:val="left" w:pos="1134"/>
      </w:tabs>
      <w:adjustRightInd w:val="0"/>
      <w:spacing w:after="120" w:before="120" w:line="240" w:lineRule="auto"/>
      <w:jc w:val="both"/>
    </w:pPr>
    <w:rPr>
      <w:rFonts w:ascii="Calibri" w:cs="Arial" w:eastAsia="Times New Roman" w:hAnsi="Calibri"/>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Revision">
    <w:name w:val="Revision"/>
    <w:hidden w:val="1"/>
    <w:uiPriority w:val="99"/>
    <w:semiHidden w:val="1"/>
    <w:rsid w:val="00F42B75"/>
    <w:pPr>
      <w:spacing w:after="0" w:line="240" w:lineRule="auto"/>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procurement-policy-note-0117-update-to-transparency-principles" TargetMode="Externa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hqd9tKKd3YczYf1RQpMLdmJO2Og==">AMUW2mXRcQRNPHQ4f6c9i6AT7qxeVLRd47wR12vV0pm/pLmH8j03liGO+Mm2aGuBexStX4p9PF67nJqepA41e8UMGaTOCpBU0l7ZzMG8iOUvOZb1ZaEarGh7w9VWLk8qAx/cgeEBPx0PDOxzRWIIaj2bXvRIlvTAPg==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2019-12-06T15:25:00Z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